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7A" w:rsidRDefault="00E04F7A" w:rsidP="00E04F7A">
      <w:pPr>
        <w:jc w:val="center"/>
        <w:rPr>
          <w:rFonts w:ascii="Arial" w:hAnsi="Arial" w:cs="Arial"/>
          <w:b/>
          <w:sz w:val="32"/>
          <w:szCs w:val="32"/>
        </w:rPr>
      </w:pPr>
    </w:p>
    <w:p w:rsidR="00E04F7A" w:rsidRDefault="00E04F7A" w:rsidP="00E04F7A">
      <w:pPr>
        <w:jc w:val="center"/>
        <w:rPr>
          <w:rFonts w:ascii="Arial" w:hAnsi="Arial" w:cs="Arial"/>
          <w:b/>
          <w:sz w:val="32"/>
          <w:szCs w:val="32"/>
        </w:rPr>
      </w:pPr>
      <w:r>
        <w:rPr>
          <w:rFonts w:ascii="Arial" w:hAnsi="Arial" w:cs="Arial"/>
          <w:b/>
          <w:sz w:val="32"/>
          <w:szCs w:val="32"/>
        </w:rPr>
        <w:t xml:space="preserve">                                             </w:t>
      </w:r>
    </w:p>
    <w:p w:rsidR="00E04F7A" w:rsidRDefault="00E04F7A" w:rsidP="00E04F7A">
      <w:pPr>
        <w:tabs>
          <w:tab w:val="left" w:pos="2295"/>
          <w:tab w:val="left" w:pos="3969"/>
          <w:tab w:val="left" w:pos="4111"/>
          <w:tab w:val="center" w:pos="4680"/>
        </w:tabs>
        <w:rPr>
          <w:rFonts w:ascii="Arial" w:hAnsi="Arial" w:cs="Arial"/>
          <w:b/>
          <w:sz w:val="32"/>
          <w:szCs w:val="32"/>
        </w:rPr>
      </w:pPr>
      <w:r>
        <w:rPr>
          <w:rFonts w:ascii="Arial" w:hAnsi="Arial" w:cs="Arial"/>
          <w:b/>
          <w:sz w:val="32"/>
          <w:szCs w:val="32"/>
        </w:rPr>
        <w:tab/>
        <w:t xml:space="preserve">                       </w:t>
      </w:r>
      <w:r w:rsidR="009A4FC1" w:rsidRPr="00783819">
        <w:rPr>
          <w:noProof/>
          <w:lang w:eastAsia="en-GB"/>
        </w:rPr>
        <w:drawing>
          <wp:inline distT="0" distB="0" distL="0" distR="0" wp14:anchorId="65A686E8" wp14:editId="40926958">
            <wp:extent cx="4366260" cy="1844040"/>
            <wp:effectExtent l="0" t="0" r="0" b="3810"/>
            <wp:docPr id="1" name="Picture 1" descr="\\server2k3\home\susannah\Desktop\THE_WILLOWS_PRIMARY_SCHOOL_HORIZON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2k3\home\susannah\Desktop\THE_WILLOWS_PRIMARY_SCHOOL_HORIZONTAL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2780" cy="1851017"/>
                    </a:xfrm>
                    <a:prstGeom prst="rect">
                      <a:avLst/>
                    </a:prstGeom>
                    <a:noFill/>
                    <a:ln>
                      <a:noFill/>
                    </a:ln>
                  </pic:spPr>
                </pic:pic>
              </a:graphicData>
            </a:graphic>
          </wp:inline>
        </w:drawing>
      </w:r>
      <w:r>
        <w:rPr>
          <w:rFonts w:ascii="Arial" w:hAnsi="Arial" w:cs="Arial"/>
          <w:b/>
          <w:sz w:val="32"/>
          <w:szCs w:val="32"/>
        </w:rPr>
        <w:t xml:space="preserve">     </w:t>
      </w:r>
      <w:r>
        <w:rPr>
          <w:rFonts w:ascii="Arial" w:hAnsi="Arial" w:cs="Arial"/>
          <w:b/>
          <w:sz w:val="32"/>
          <w:szCs w:val="32"/>
        </w:rPr>
        <w:tab/>
      </w:r>
    </w:p>
    <w:p w:rsidR="00E04F7A" w:rsidRDefault="00E04F7A" w:rsidP="00E04F7A">
      <w:pPr>
        <w:jc w:val="center"/>
        <w:rPr>
          <w:rFonts w:ascii="Arial" w:hAnsi="Arial" w:cs="Arial"/>
          <w:b/>
          <w:sz w:val="32"/>
          <w:szCs w:val="32"/>
        </w:rPr>
      </w:pPr>
      <w:r>
        <w:rPr>
          <w:noProof/>
          <w:lang w:eastAsia="en-GB"/>
        </w:rPr>
        <w:t xml:space="preserve">                                                                                                   </w:t>
      </w:r>
    </w:p>
    <w:p w:rsidR="00E04F7A" w:rsidRDefault="00E04F7A" w:rsidP="00E04F7A">
      <w:pPr>
        <w:jc w:val="center"/>
        <w:rPr>
          <w:rFonts w:ascii="Arial" w:hAnsi="Arial" w:cs="Arial"/>
          <w:b/>
          <w:sz w:val="32"/>
          <w:szCs w:val="32"/>
        </w:rPr>
      </w:pPr>
    </w:p>
    <w:p w:rsidR="00E04F7A" w:rsidRDefault="009A4FC1" w:rsidP="00E04F7A">
      <w:pPr>
        <w:jc w:val="center"/>
        <w:rPr>
          <w:rFonts w:ascii="Arial" w:hAnsi="Arial" w:cs="Arial"/>
          <w:b/>
          <w:color w:val="1F4E79" w:themeColor="accent1" w:themeShade="80"/>
          <w:sz w:val="72"/>
          <w:szCs w:val="72"/>
        </w:rPr>
      </w:pPr>
      <w:r w:rsidRPr="009A4FC1">
        <w:rPr>
          <w:rFonts w:ascii="Arial" w:hAnsi="Arial" w:cs="Arial"/>
          <w:b/>
          <w:color w:val="1F3864" w:themeColor="accent5" w:themeShade="80"/>
          <w:sz w:val="72"/>
          <w:szCs w:val="72"/>
        </w:rPr>
        <w:t>Pupil Premium Report</w:t>
      </w:r>
      <w:r w:rsidRPr="009A4FC1">
        <w:rPr>
          <w:rFonts w:ascii="Arial" w:hAnsi="Arial" w:cs="Arial"/>
          <w:b/>
          <w:color w:val="1F4E79" w:themeColor="accent1" w:themeShade="80"/>
          <w:sz w:val="72"/>
          <w:szCs w:val="72"/>
        </w:rPr>
        <w:t xml:space="preserve"> </w:t>
      </w:r>
    </w:p>
    <w:p w:rsidR="009A4FC1" w:rsidRPr="009A4FC1" w:rsidRDefault="009A4FC1" w:rsidP="00E04F7A">
      <w:pPr>
        <w:jc w:val="center"/>
        <w:rPr>
          <w:rFonts w:ascii="Arial" w:hAnsi="Arial" w:cs="Arial"/>
          <w:b/>
          <w:color w:val="1F3864" w:themeColor="accent5" w:themeShade="80"/>
          <w:sz w:val="72"/>
          <w:szCs w:val="72"/>
        </w:rPr>
      </w:pPr>
      <w:r w:rsidRPr="009A4FC1">
        <w:rPr>
          <w:rFonts w:ascii="Arial" w:hAnsi="Arial" w:cs="Arial"/>
          <w:b/>
          <w:color w:val="1F3864" w:themeColor="accent5" w:themeShade="80"/>
          <w:sz w:val="72"/>
          <w:szCs w:val="72"/>
        </w:rPr>
        <w:t>2019-20</w:t>
      </w:r>
    </w:p>
    <w:p w:rsidR="00E04F7A" w:rsidRDefault="00E04F7A" w:rsidP="00E04F7A">
      <w:pPr>
        <w:rPr>
          <w:rFonts w:ascii="Arial" w:hAnsi="Arial" w:cs="Arial"/>
          <w:b/>
          <w:sz w:val="32"/>
          <w:szCs w:val="32"/>
        </w:rPr>
      </w:pPr>
      <w:r>
        <w:rPr>
          <w:rFonts w:ascii="Arial" w:hAnsi="Arial" w:cs="Arial"/>
          <w:b/>
          <w:sz w:val="32"/>
          <w:szCs w:val="32"/>
        </w:rPr>
        <w:t xml:space="preserve">             </w:t>
      </w:r>
    </w:p>
    <w:p w:rsidR="00E04F7A" w:rsidRPr="00767CE1" w:rsidRDefault="00E04F7A" w:rsidP="00E04F7A">
      <w:pPr>
        <w:rPr>
          <w:rFonts w:ascii="Arial" w:hAnsi="Arial" w:cs="Arial"/>
          <w:sz w:val="32"/>
          <w:szCs w:val="32"/>
        </w:rPr>
      </w:pPr>
    </w:p>
    <w:p w:rsidR="00E04F7A" w:rsidRDefault="00E04F7A" w:rsidP="00E04F7A">
      <w:pPr>
        <w:rPr>
          <w:rFonts w:ascii="Arial" w:hAnsi="Arial" w:cs="Arial"/>
          <w:sz w:val="32"/>
          <w:szCs w:val="32"/>
        </w:rPr>
      </w:pPr>
    </w:p>
    <w:p w:rsidR="007B2B27" w:rsidRDefault="00E04F7A" w:rsidP="007B2B27">
      <w:pPr>
        <w:rPr>
          <w:noProof/>
          <w:lang w:eastAsia="en-GB"/>
        </w:rPr>
      </w:pPr>
      <w:r>
        <w:rPr>
          <w:noProof/>
          <w:lang w:eastAsia="en-GB"/>
        </w:rPr>
        <w:t xml:space="preserve">      </w:t>
      </w:r>
    </w:p>
    <w:p w:rsidR="00913D04" w:rsidRPr="007B2B27" w:rsidRDefault="009A4FC1" w:rsidP="007B2B27">
      <w:pPr>
        <w:jc w:val="center"/>
        <w:rPr>
          <w:noProof/>
          <w:lang w:eastAsia="en-GB"/>
        </w:rPr>
      </w:pPr>
      <w:r>
        <w:rPr>
          <w:rFonts w:ascii="Arial" w:hAnsi="Arial" w:cs="Arial"/>
          <w:b/>
          <w:sz w:val="32"/>
          <w:szCs w:val="32"/>
        </w:rPr>
        <w:lastRenderedPageBreak/>
        <w:t>The Willows</w:t>
      </w:r>
      <w:r w:rsidR="00E04F7A">
        <w:rPr>
          <w:rFonts w:ascii="Arial" w:hAnsi="Arial" w:cs="Arial"/>
          <w:b/>
          <w:sz w:val="32"/>
          <w:szCs w:val="32"/>
        </w:rPr>
        <w:t xml:space="preserve"> </w:t>
      </w:r>
      <w:r w:rsidR="00E04F7A" w:rsidRPr="00BD10E2">
        <w:rPr>
          <w:rFonts w:ascii="Arial" w:hAnsi="Arial" w:cs="Arial"/>
          <w:b/>
          <w:sz w:val="32"/>
          <w:szCs w:val="32"/>
        </w:rPr>
        <w:t xml:space="preserve">Pupil Premium Report </w:t>
      </w:r>
      <w:r w:rsidR="00913D04">
        <w:rPr>
          <w:rFonts w:ascii="Arial" w:hAnsi="Arial" w:cs="Arial"/>
          <w:b/>
          <w:sz w:val="32"/>
          <w:szCs w:val="32"/>
        </w:rPr>
        <w:t>2019-20</w:t>
      </w:r>
    </w:p>
    <w:p w:rsidR="00E04F7A" w:rsidRPr="00E00A1C" w:rsidRDefault="00E04F7A" w:rsidP="00E04F7A">
      <w:pPr>
        <w:widowControl w:val="0"/>
        <w:tabs>
          <w:tab w:val="left" w:pos="969"/>
        </w:tabs>
        <w:autoSpaceDE w:val="0"/>
        <w:autoSpaceDN w:val="0"/>
        <w:adjustRightInd w:val="0"/>
        <w:spacing w:after="0"/>
        <w:rPr>
          <w:rFonts w:ascii="Arial" w:hAnsi="Arial" w:cs="Arial"/>
          <w:b/>
          <w:lang w:val="en-US"/>
        </w:rPr>
      </w:pPr>
      <w:r w:rsidRPr="00E00A1C">
        <w:rPr>
          <w:rFonts w:ascii="Arial" w:hAnsi="Arial" w:cs="Arial"/>
          <w:b/>
          <w:lang w:val="en-US"/>
        </w:rPr>
        <w:t>OBJECTIVES FOR PUPIL PREMIUM IN THIS SCHOOL</w:t>
      </w:r>
    </w:p>
    <w:p w:rsidR="00E04F7A" w:rsidRPr="00E00A1C"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The Pupil Premium will be used to provide additional educational support to improve the progress and to raise the standard of achievement for these pupils</w:t>
      </w:r>
    </w:p>
    <w:p w:rsidR="00E04F7A" w:rsidRPr="00E00A1C"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The funding will be used to narrow and close the gap between the achievement of these pupils and their peers</w:t>
      </w:r>
    </w:p>
    <w:p w:rsidR="00E04F7A" w:rsidRPr="00E00A1C"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As far as its powers allow the school will use the additional funding to address any underlying inequalities between children eligibl</w:t>
      </w:r>
      <w:r>
        <w:rPr>
          <w:rFonts w:ascii="Arial" w:hAnsi="Arial" w:cs="Arial"/>
          <w:color w:val="000000"/>
          <w:lang w:eastAsia="en-GB"/>
        </w:rPr>
        <w:t>e for Pupils Premium and others, including tackling barriers to learning such as attendance and behaviour</w:t>
      </w:r>
    </w:p>
    <w:p w:rsidR="00E04F7A" w:rsidRDefault="00E04F7A" w:rsidP="00E04F7A">
      <w:pPr>
        <w:pStyle w:val="ListParagraph"/>
        <w:numPr>
          <w:ilvl w:val="0"/>
          <w:numId w:val="1"/>
        </w:numPr>
        <w:shd w:val="clear" w:color="auto" w:fill="FFFFFF"/>
        <w:spacing w:after="0" w:line="240" w:lineRule="auto"/>
        <w:rPr>
          <w:rFonts w:ascii="Arial" w:hAnsi="Arial" w:cs="Arial"/>
          <w:color w:val="000000"/>
          <w:lang w:eastAsia="en-GB"/>
        </w:rPr>
      </w:pPr>
      <w:r w:rsidRPr="00E00A1C">
        <w:rPr>
          <w:rFonts w:ascii="Arial" w:hAnsi="Arial" w:cs="Arial"/>
          <w:color w:val="000000"/>
          <w:lang w:eastAsia="en-GB"/>
        </w:rPr>
        <w:t>We will ensure that the additional funding reaches the pupils who need it most and that it makes a significant impact on their education and lives.</w:t>
      </w:r>
    </w:p>
    <w:p w:rsidR="00E04F7A" w:rsidRDefault="00F427AD" w:rsidP="00E04F7A">
      <w:pPr>
        <w:shd w:val="clear" w:color="auto" w:fill="FFFFFF"/>
        <w:spacing w:after="0" w:line="240" w:lineRule="auto"/>
        <w:rPr>
          <w:rFonts w:ascii="Arial" w:hAnsi="Arial" w:cs="Arial"/>
          <w:b/>
          <w:color w:val="000000"/>
          <w:lang w:eastAsia="en-GB"/>
        </w:rPr>
      </w:pPr>
      <w:r>
        <w:rPr>
          <w:rFonts w:ascii="Arial" w:hAnsi="Arial" w:cs="Arial"/>
          <w:b/>
          <w:color w:val="000000"/>
          <w:lang w:eastAsia="en-GB"/>
        </w:rPr>
        <w:t>Value of the Pupil Premium Grant</w:t>
      </w:r>
      <w:r w:rsidR="00E04F7A">
        <w:rPr>
          <w:rFonts w:ascii="Arial" w:hAnsi="Arial" w:cs="Arial"/>
          <w:b/>
          <w:color w:val="000000"/>
          <w:lang w:eastAsia="en-GB"/>
        </w:rPr>
        <w:t xml:space="preserve"> for the year 2019-20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3857"/>
        <w:gridCol w:w="3910"/>
        <w:gridCol w:w="3888"/>
      </w:tblGrid>
      <w:tr w:rsidR="00F427AD" w:rsidTr="007B2B27">
        <w:tc>
          <w:tcPr>
            <w:tcW w:w="3958" w:type="dxa"/>
          </w:tcPr>
          <w:p w:rsidR="00F427AD" w:rsidRDefault="00F427AD" w:rsidP="00E04F7A">
            <w:pPr>
              <w:spacing w:after="0" w:line="240" w:lineRule="auto"/>
              <w:rPr>
                <w:rFonts w:ascii="Arial" w:hAnsi="Arial" w:cs="Arial"/>
                <w:b/>
                <w:color w:val="000000"/>
                <w:lang w:eastAsia="en-GB"/>
              </w:rPr>
            </w:pPr>
          </w:p>
        </w:tc>
        <w:tc>
          <w:tcPr>
            <w:tcW w:w="4136" w:type="dxa"/>
          </w:tcPr>
          <w:p w:rsidR="00F427AD" w:rsidRDefault="00F427AD" w:rsidP="00E04F7A">
            <w:pPr>
              <w:spacing w:after="0" w:line="240" w:lineRule="auto"/>
              <w:rPr>
                <w:rFonts w:ascii="Arial" w:hAnsi="Arial" w:cs="Arial"/>
                <w:b/>
                <w:color w:val="000000"/>
                <w:lang w:eastAsia="en-GB"/>
              </w:rPr>
            </w:pPr>
          </w:p>
        </w:tc>
        <w:tc>
          <w:tcPr>
            <w:tcW w:w="4166" w:type="dxa"/>
          </w:tcPr>
          <w:p w:rsidR="00F427AD" w:rsidRDefault="00F427AD" w:rsidP="00F427AD">
            <w:pPr>
              <w:spacing w:after="0" w:line="240" w:lineRule="auto"/>
              <w:jc w:val="center"/>
              <w:rPr>
                <w:rFonts w:ascii="Arial" w:hAnsi="Arial" w:cs="Arial"/>
                <w:b/>
                <w:color w:val="000000"/>
                <w:lang w:eastAsia="en-GB"/>
              </w:rPr>
            </w:pPr>
            <w:r>
              <w:rPr>
                <w:rFonts w:ascii="Arial" w:hAnsi="Arial" w:cs="Arial"/>
                <w:b/>
                <w:color w:val="000000"/>
                <w:lang w:eastAsia="en-GB"/>
              </w:rPr>
              <w:t>Budget</w:t>
            </w:r>
          </w:p>
        </w:tc>
        <w:tc>
          <w:tcPr>
            <w:tcW w:w="4142" w:type="dxa"/>
          </w:tcPr>
          <w:p w:rsidR="00F427AD" w:rsidRDefault="00F427AD" w:rsidP="00F427AD">
            <w:pPr>
              <w:spacing w:after="0" w:line="240" w:lineRule="auto"/>
              <w:jc w:val="center"/>
              <w:rPr>
                <w:rFonts w:ascii="Arial" w:hAnsi="Arial" w:cs="Arial"/>
                <w:b/>
                <w:color w:val="000000"/>
                <w:lang w:eastAsia="en-GB"/>
              </w:rPr>
            </w:pPr>
            <w:r>
              <w:rPr>
                <w:rFonts w:ascii="Arial" w:hAnsi="Arial" w:cs="Arial"/>
                <w:b/>
                <w:color w:val="000000"/>
                <w:lang w:eastAsia="en-GB"/>
              </w:rPr>
              <w:t>Actual</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FSM element</w:t>
            </w: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No. of pupils</w:t>
            </w:r>
          </w:p>
        </w:tc>
        <w:tc>
          <w:tcPr>
            <w:tcW w:w="4166" w:type="dxa"/>
          </w:tcPr>
          <w:p w:rsidR="00F427AD" w:rsidRPr="007C45C1" w:rsidRDefault="00F427AD" w:rsidP="00DF704A">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2</w:t>
            </w:r>
            <w:r w:rsidR="00DF704A">
              <w:rPr>
                <w:rFonts w:ascii="Arial" w:hAnsi="Arial" w:cs="Arial"/>
                <w:color w:val="000000"/>
                <w:sz w:val="20"/>
                <w:szCs w:val="20"/>
                <w:lang w:eastAsia="en-GB"/>
              </w:rPr>
              <w:t>25</w:t>
            </w:r>
          </w:p>
        </w:tc>
        <w:tc>
          <w:tcPr>
            <w:tcW w:w="4142" w:type="dxa"/>
          </w:tcPr>
          <w:p w:rsidR="00F427AD" w:rsidRPr="007C45C1" w:rsidRDefault="007C45C1" w:rsidP="00DF704A">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2</w:t>
            </w:r>
            <w:r w:rsidR="00DF704A">
              <w:rPr>
                <w:rFonts w:ascii="Arial" w:hAnsi="Arial" w:cs="Arial"/>
                <w:color w:val="000000"/>
                <w:sz w:val="20"/>
                <w:szCs w:val="20"/>
                <w:lang w:eastAsia="en-GB"/>
              </w:rPr>
              <w:t>37</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Per pupil rate</w:t>
            </w:r>
          </w:p>
        </w:tc>
        <w:tc>
          <w:tcPr>
            <w:tcW w:w="4166" w:type="dxa"/>
          </w:tcPr>
          <w:p w:rsidR="00F427AD" w:rsidRPr="007C45C1" w:rsidRDefault="00F427AD" w:rsidP="00F427AD">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£1,320</w:t>
            </w:r>
          </w:p>
        </w:tc>
        <w:tc>
          <w:tcPr>
            <w:tcW w:w="4142" w:type="dxa"/>
          </w:tcPr>
          <w:p w:rsidR="00F427AD" w:rsidRPr="007C45C1" w:rsidRDefault="007C45C1" w:rsidP="00F427AD">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£1,320</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Sub-total</w:t>
            </w:r>
          </w:p>
        </w:tc>
        <w:tc>
          <w:tcPr>
            <w:tcW w:w="4166" w:type="dxa"/>
          </w:tcPr>
          <w:p w:rsidR="00F427AD" w:rsidRPr="007C45C1" w:rsidRDefault="00F427AD"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297,000</w:t>
            </w:r>
          </w:p>
        </w:tc>
        <w:tc>
          <w:tcPr>
            <w:tcW w:w="4142" w:type="dxa"/>
          </w:tcPr>
          <w:p w:rsidR="00F427AD" w:rsidRPr="007C45C1" w:rsidRDefault="00DF704A" w:rsidP="00F427AD">
            <w:pPr>
              <w:spacing w:after="0" w:line="240" w:lineRule="auto"/>
              <w:jc w:val="right"/>
              <w:rPr>
                <w:rFonts w:ascii="Arial" w:hAnsi="Arial" w:cs="Arial"/>
                <w:b/>
                <w:color w:val="000000"/>
                <w:sz w:val="20"/>
                <w:szCs w:val="20"/>
                <w:lang w:eastAsia="en-GB"/>
              </w:rPr>
            </w:pPr>
            <w:r>
              <w:rPr>
                <w:rFonts w:ascii="Arial" w:hAnsi="Arial" w:cs="Arial"/>
                <w:b/>
                <w:color w:val="000000"/>
                <w:sz w:val="20"/>
                <w:szCs w:val="20"/>
                <w:lang w:eastAsia="en-GB"/>
              </w:rPr>
              <w:t>£312,840</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LAC element</w:t>
            </w: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No. of pupils</w:t>
            </w:r>
          </w:p>
        </w:tc>
        <w:tc>
          <w:tcPr>
            <w:tcW w:w="4166" w:type="dxa"/>
          </w:tcPr>
          <w:p w:rsidR="00F427AD" w:rsidRPr="007C45C1" w:rsidRDefault="00DF704A" w:rsidP="00F427AD">
            <w:pPr>
              <w:spacing w:after="0" w:line="240" w:lineRule="auto"/>
              <w:jc w:val="right"/>
              <w:rPr>
                <w:rFonts w:ascii="Arial" w:hAnsi="Arial" w:cs="Arial"/>
                <w:color w:val="000000"/>
                <w:sz w:val="20"/>
                <w:szCs w:val="20"/>
                <w:lang w:eastAsia="en-GB"/>
              </w:rPr>
            </w:pPr>
            <w:r>
              <w:rPr>
                <w:rFonts w:ascii="Arial" w:hAnsi="Arial" w:cs="Arial"/>
                <w:color w:val="000000"/>
                <w:sz w:val="20"/>
                <w:szCs w:val="20"/>
                <w:lang w:eastAsia="en-GB"/>
              </w:rPr>
              <w:t>4</w:t>
            </w:r>
          </w:p>
        </w:tc>
        <w:tc>
          <w:tcPr>
            <w:tcW w:w="4142" w:type="dxa"/>
          </w:tcPr>
          <w:p w:rsidR="00F427AD" w:rsidRPr="007C45C1" w:rsidRDefault="00DF704A" w:rsidP="00F427AD">
            <w:pPr>
              <w:spacing w:after="0" w:line="240" w:lineRule="auto"/>
              <w:jc w:val="right"/>
              <w:rPr>
                <w:rFonts w:ascii="Arial" w:hAnsi="Arial" w:cs="Arial"/>
                <w:color w:val="000000"/>
                <w:sz w:val="20"/>
                <w:szCs w:val="20"/>
                <w:lang w:eastAsia="en-GB"/>
              </w:rPr>
            </w:pPr>
            <w:r>
              <w:rPr>
                <w:rFonts w:ascii="Arial" w:hAnsi="Arial" w:cs="Arial"/>
                <w:color w:val="000000"/>
                <w:sz w:val="20"/>
                <w:szCs w:val="20"/>
                <w:lang w:eastAsia="en-GB"/>
              </w:rPr>
              <w:t>1.3</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Per pupil rate</w:t>
            </w:r>
          </w:p>
        </w:tc>
        <w:tc>
          <w:tcPr>
            <w:tcW w:w="4166" w:type="dxa"/>
          </w:tcPr>
          <w:p w:rsidR="00F427AD" w:rsidRPr="007C45C1" w:rsidRDefault="00F427AD" w:rsidP="00F427AD">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£1,900</w:t>
            </w:r>
          </w:p>
        </w:tc>
        <w:tc>
          <w:tcPr>
            <w:tcW w:w="4142" w:type="dxa"/>
          </w:tcPr>
          <w:p w:rsidR="00F427AD" w:rsidRPr="007C45C1" w:rsidRDefault="007C45C1" w:rsidP="00F427AD">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£1,900</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Sub-total</w:t>
            </w:r>
          </w:p>
        </w:tc>
        <w:tc>
          <w:tcPr>
            <w:tcW w:w="4166" w:type="dxa"/>
          </w:tcPr>
          <w:p w:rsidR="00F427AD" w:rsidRPr="007C45C1" w:rsidRDefault="00F427AD"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7</w:t>
            </w:r>
            <w:r w:rsidRPr="007C45C1">
              <w:rPr>
                <w:rFonts w:ascii="Arial" w:hAnsi="Arial" w:cs="Arial"/>
                <w:b/>
                <w:color w:val="000000"/>
                <w:sz w:val="20"/>
                <w:szCs w:val="20"/>
                <w:lang w:eastAsia="en-GB"/>
              </w:rPr>
              <w:t>,600</w:t>
            </w:r>
          </w:p>
        </w:tc>
        <w:tc>
          <w:tcPr>
            <w:tcW w:w="4142" w:type="dxa"/>
          </w:tcPr>
          <w:p w:rsidR="00F427AD" w:rsidRPr="007C45C1" w:rsidRDefault="007C45C1"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2,416</w:t>
            </w:r>
          </w:p>
        </w:tc>
      </w:tr>
      <w:tr w:rsidR="007C45C1" w:rsidTr="007B2B27">
        <w:tc>
          <w:tcPr>
            <w:tcW w:w="3958" w:type="dxa"/>
          </w:tcPr>
          <w:p w:rsidR="007C45C1" w:rsidRPr="007C45C1" w:rsidRDefault="007C45C1" w:rsidP="007C45C1">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Service element</w:t>
            </w:r>
          </w:p>
        </w:tc>
        <w:tc>
          <w:tcPr>
            <w:tcW w:w="4136" w:type="dxa"/>
          </w:tcPr>
          <w:p w:rsidR="007C45C1" w:rsidRPr="007C45C1" w:rsidRDefault="007C45C1" w:rsidP="007C45C1">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No. of pupils</w:t>
            </w:r>
          </w:p>
        </w:tc>
        <w:tc>
          <w:tcPr>
            <w:tcW w:w="4166" w:type="dxa"/>
          </w:tcPr>
          <w:p w:rsidR="007C45C1" w:rsidRPr="007C45C1" w:rsidRDefault="007C45C1" w:rsidP="007C45C1">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0</w:t>
            </w:r>
          </w:p>
        </w:tc>
        <w:tc>
          <w:tcPr>
            <w:tcW w:w="4142" w:type="dxa"/>
          </w:tcPr>
          <w:p w:rsidR="007C45C1" w:rsidRPr="007C45C1" w:rsidRDefault="007C45C1" w:rsidP="007C45C1">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0</w:t>
            </w:r>
          </w:p>
        </w:tc>
      </w:tr>
      <w:tr w:rsidR="007C45C1" w:rsidTr="007B2B27">
        <w:tc>
          <w:tcPr>
            <w:tcW w:w="3958" w:type="dxa"/>
          </w:tcPr>
          <w:p w:rsidR="007C45C1" w:rsidRPr="007C45C1" w:rsidRDefault="007C45C1" w:rsidP="007C45C1">
            <w:pPr>
              <w:spacing w:after="0" w:line="240" w:lineRule="auto"/>
              <w:rPr>
                <w:rFonts w:ascii="Arial" w:hAnsi="Arial" w:cs="Arial"/>
                <w:b/>
                <w:color w:val="000000"/>
                <w:sz w:val="20"/>
                <w:szCs w:val="20"/>
                <w:lang w:eastAsia="en-GB"/>
              </w:rPr>
            </w:pPr>
          </w:p>
        </w:tc>
        <w:tc>
          <w:tcPr>
            <w:tcW w:w="4136" w:type="dxa"/>
          </w:tcPr>
          <w:p w:rsidR="007C45C1" w:rsidRPr="007C45C1" w:rsidRDefault="007C45C1" w:rsidP="007C45C1">
            <w:pPr>
              <w:spacing w:after="0" w:line="240" w:lineRule="auto"/>
              <w:rPr>
                <w:rFonts w:ascii="Arial" w:hAnsi="Arial" w:cs="Arial"/>
                <w:color w:val="000000"/>
                <w:sz w:val="20"/>
                <w:szCs w:val="20"/>
                <w:lang w:eastAsia="en-GB"/>
              </w:rPr>
            </w:pPr>
            <w:r w:rsidRPr="007C45C1">
              <w:rPr>
                <w:rFonts w:ascii="Arial" w:hAnsi="Arial" w:cs="Arial"/>
                <w:color w:val="000000"/>
                <w:sz w:val="20"/>
                <w:szCs w:val="20"/>
                <w:lang w:eastAsia="en-GB"/>
              </w:rPr>
              <w:t>Per pupil rate</w:t>
            </w:r>
          </w:p>
        </w:tc>
        <w:tc>
          <w:tcPr>
            <w:tcW w:w="4166" w:type="dxa"/>
          </w:tcPr>
          <w:p w:rsidR="007C45C1" w:rsidRPr="007C45C1" w:rsidRDefault="007C45C1" w:rsidP="007C45C1">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£300</w:t>
            </w:r>
          </w:p>
        </w:tc>
        <w:tc>
          <w:tcPr>
            <w:tcW w:w="4142" w:type="dxa"/>
          </w:tcPr>
          <w:p w:rsidR="007C45C1" w:rsidRPr="007C45C1" w:rsidRDefault="007C45C1" w:rsidP="007C45C1">
            <w:pPr>
              <w:spacing w:after="0" w:line="240" w:lineRule="auto"/>
              <w:jc w:val="right"/>
              <w:rPr>
                <w:rFonts w:ascii="Arial" w:hAnsi="Arial" w:cs="Arial"/>
                <w:color w:val="000000"/>
                <w:sz w:val="20"/>
                <w:szCs w:val="20"/>
                <w:lang w:eastAsia="en-GB"/>
              </w:rPr>
            </w:pPr>
            <w:r w:rsidRPr="007C45C1">
              <w:rPr>
                <w:rFonts w:ascii="Arial" w:hAnsi="Arial" w:cs="Arial"/>
                <w:color w:val="000000"/>
                <w:sz w:val="20"/>
                <w:szCs w:val="20"/>
                <w:lang w:eastAsia="en-GB"/>
              </w:rPr>
              <w:t>£300</w:t>
            </w:r>
          </w:p>
        </w:tc>
      </w:tr>
      <w:tr w:rsidR="007C45C1" w:rsidTr="007B2B27">
        <w:tc>
          <w:tcPr>
            <w:tcW w:w="3958" w:type="dxa"/>
          </w:tcPr>
          <w:p w:rsidR="007C45C1" w:rsidRPr="007C45C1" w:rsidRDefault="007C45C1" w:rsidP="007C45C1">
            <w:pPr>
              <w:spacing w:after="0" w:line="240" w:lineRule="auto"/>
              <w:rPr>
                <w:rFonts w:ascii="Arial" w:hAnsi="Arial" w:cs="Arial"/>
                <w:b/>
                <w:color w:val="000000"/>
                <w:sz w:val="20"/>
                <w:szCs w:val="20"/>
                <w:lang w:eastAsia="en-GB"/>
              </w:rPr>
            </w:pPr>
          </w:p>
        </w:tc>
        <w:tc>
          <w:tcPr>
            <w:tcW w:w="4136" w:type="dxa"/>
          </w:tcPr>
          <w:p w:rsidR="007C45C1" w:rsidRPr="007C45C1" w:rsidRDefault="007C45C1" w:rsidP="007C45C1">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Sub-total</w:t>
            </w:r>
          </w:p>
        </w:tc>
        <w:tc>
          <w:tcPr>
            <w:tcW w:w="4166" w:type="dxa"/>
          </w:tcPr>
          <w:p w:rsidR="007C45C1" w:rsidRPr="007C45C1" w:rsidRDefault="007C45C1" w:rsidP="007C45C1">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0</w:t>
            </w:r>
          </w:p>
        </w:tc>
        <w:tc>
          <w:tcPr>
            <w:tcW w:w="4142" w:type="dxa"/>
          </w:tcPr>
          <w:p w:rsidR="007C45C1" w:rsidRPr="007C45C1" w:rsidRDefault="007C45C1" w:rsidP="007C45C1">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0</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Nursery Pupil Premium</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F427AD"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7,852</w:t>
            </w:r>
          </w:p>
        </w:tc>
        <w:tc>
          <w:tcPr>
            <w:tcW w:w="4142" w:type="dxa"/>
          </w:tcPr>
          <w:p w:rsidR="00F427AD" w:rsidRPr="007C45C1" w:rsidRDefault="007C45C1"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11,177</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Total Grant</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F427AD"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312,452</w:t>
            </w:r>
          </w:p>
        </w:tc>
        <w:tc>
          <w:tcPr>
            <w:tcW w:w="4142" w:type="dxa"/>
          </w:tcPr>
          <w:p w:rsidR="00F427AD" w:rsidRPr="007C45C1" w:rsidRDefault="007C45C1"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326,433</w:t>
            </w:r>
          </w:p>
        </w:tc>
      </w:tr>
      <w:tr w:rsidR="00F427AD" w:rsidTr="007B2B27">
        <w:tc>
          <w:tcPr>
            <w:tcW w:w="3958" w:type="dxa"/>
          </w:tcPr>
          <w:p w:rsidR="00F427AD" w:rsidRPr="007C45C1" w:rsidRDefault="00F427AD" w:rsidP="00F427AD">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Total expenditure identified</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7C45C1"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312,335</w:t>
            </w:r>
          </w:p>
        </w:tc>
        <w:tc>
          <w:tcPr>
            <w:tcW w:w="4142" w:type="dxa"/>
          </w:tcPr>
          <w:p w:rsidR="00F427AD" w:rsidRPr="007C45C1" w:rsidRDefault="007C45C1" w:rsidP="007B2B27">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255,0</w:t>
            </w:r>
            <w:r w:rsidR="007B2B27">
              <w:rPr>
                <w:rFonts w:ascii="Arial" w:hAnsi="Arial" w:cs="Arial"/>
                <w:b/>
                <w:color w:val="000000"/>
                <w:sz w:val="20"/>
                <w:szCs w:val="20"/>
                <w:lang w:eastAsia="en-GB"/>
              </w:rPr>
              <w:t>20</w:t>
            </w:r>
          </w:p>
        </w:tc>
      </w:tr>
      <w:tr w:rsidR="00F427AD" w:rsidTr="007B2B27">
        <w:tc>
          <w:tcPr>
            <w:tcW w:w="3958" w:type="dxa"/>
          </w:tcPr>
          <w:p w:rsidR="00F427AD" w:rsidRPr="007C45C1" w:rsidRDefault="00F427AD" w:rsidP="00E04F7A">
            <w:pPr>
              <w:spacing w:after="0" w:line="240" w:lineRule="auto"/>
              <w:rPr>
                <w:rFonts w:ascii="Arial" w:hAnsi="Arial" w:cs="Arial"/>
                <w:b/>
                <w:color w:val="000000"/>
                <w:sz w:val="20"/>
                <w:szCs w:val="20"/>
                <w:lang w:eastAsia="en-GB"/>
              </w:rPr>
            </w:pPr>
            <w:r w:rsidRPr="007C45C1">
              <w:rPr>
                <w:rFonts w:ascii="Arial" w:hAnsi="Arial" w:cs="Arial"/>
                <w:b/>
                <w:color w:val="000000"/>
                <w:sz w:val="20"/>
                <w:szCs w:val="20"/>
                <w:lang w:eastAsia="en-GB"/>
              </w:rPr>
              <w:t>Balance to allocate</w:t>
            </w:r>
          </w:p>
        </w:tc>
        <w:tc>
          <w:tcPr>
            <w:tcW w:w="4136" w:type="dxa"/>
          </w:tcPr>
          <w:p w:rsidR="00F427AD" w:rsidRPr="007C45C1" w:rsidRDefault="00F427AD" w:rsidP="00E04F7A">
            <w:pPr>
              <w:spacing w:after="0" w:line="240" w:lineRule="auto"/>
              <w:rPr>
                <w:rFonts w:ascii="Arial" w:hAnsi="Arial" w:cs="Arial"/>
                <w:b/>
                <w:color w:val="000000"/>
                <w:sz w:val="20"/>
                <w:szCs w:val="20"/>
                <w:lang w:eastAsia="en-GB"/>
              </w:rPr>
            </w:pPr>
          </w:p>
        </w:tc>
        <w:tc>
          <w:tcPr>
            <w:tcW w:w="4166" w:type="dxa"/>
          </w:tcPr>
          <w:p w:rsidR="00F427AD" w:rsidRPr="007C45C1" w:rsidRDefault="007C45C1" w:rsidP="00DF704A">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£1</w:t>
            </w:r>
            <w:r w:rsidR="00DF704A">
              <w:rPr>
                <w:rFonts w:ascii="Arial" w:hAnsi="Arial" w:cs="Arial"/>
                <w:b/>
                <w:color w:val="000000"/>
                <w:sz w:val="20"/>
                <w:szCs w:val="20"/>
                <w:lang w:eastAsia="en-GB"/>
              </w:rPr>
              <w:t>17</w:t>
            </w:r>
          </w:p>
        </w:tc>
        <w:tc>
          <w:tcPr>
            <w:tcW w:w="4142" w:type="dxa"/>
          </w:tcPr>
          <w:p w:rsidR="00F427AD" w:rsidRPr="007C45C1" w:rsidRDefault="007C45C1" w:rsidP="007B2B27">
            <w:pPr>
              <w:spacing w:after="0" w:line="240" w:lineRule="auto"/>
              <w:jc w:val="right"/>
              <w:rPr>
                <w:rFonts w:ascii="Arial" w:hAnsi="Arial" w:cs="Arial"/>
                <w:b/>
                <w:color w:val="000000"/>
                <w:sz w:val="20"/>
                <w:szCs w:val="20"/>
                <w:lang w:eastAsia="en-GB"/>
              </w:rPr>
            </w:pPr>
            <w:r w:rsidRPr="007C45C1">
              <w:rPr>
                <w:rFonts w:ascii="Arial" w:hAnsi="Arial" w:cs="Arial"/>
                <w:b/>
                <w:color w:val="000000"/>
                <w:sz w:val="20"/>
                <w:szCs w:val="20"/>
                <w:lang w:eastAsia="en-GB"/>
              </w:rPr>
              <w:t>£</w:t>
            </w:r>
            <w:r w:rsidR="00DF704A">
              <w:rPr>
                <w:rFonts w:ascii="Arial" w:hAnsi="Arial" w:cs="Arial"/>
                <w:b/>
                <w:color w:val="000000"/>
                <w:sz w:val="20"/>
                <w:szCs w:val="20"/>
                <w:lang w:eastAsia="en-GB"/>
              </w:rPr>
              <w:t>71,4</w:t>
            </w:r>
            <w:r w:rsidR="007B2B27">
              <w:rPr>
                <w:rFonts w:ascii="Arial" w:hAnsi="Arial" w:cs="Arial"/>
                <w:b/>
                <w:color w:val="000000"/>
                <w:sz w:val="20"/>
                <w:szCs w:val="20"/>
                <w:lang w:eastAsia="en-GB"/>
              </w:rPr>
              <w:t>13</w:t>
            </w:r>
          </w:p>
        </w:tc>
      </w:tr>
    </w:tbl>
    <w:p w:rsidR="00F427AD" w:rsidRDefault="00F427AD" w:rsidP="00E04F7A">
      <w:pPr>
        <w:shd w:val="clear" w:color="auto" w:fill="FFFFFF"/>
        <w:spacing w:after="0" w:line="240" w:lineRule="auto"/>
        <w:rPr>
          <w:rFonts w:ascii="Arial" w:hAnsi="Arial" w:cs="Arial"/>
          <w:b/>
          <w:color w:val="000000"/>
          <w:lang w:eastAsia="en-GB"/>
        </w:rPr>
      </w:pPr>
    </w:p>
    <w:p w:rsidR="00E04F7A" w:rsidRDefault="00E04F7A" w:rsidP="00E04F7A">
      <w:pPr>
        <w:shd w:val="clear" w:color="auto" w:fill="FFFFFF"/>
        <w:spacing w:after="0" w:line="240" w:lineRule="auto"/>
        <w:rPr>
          <w:rFonts w:ascii="Arial" w:hAnsi="Arial" w:cs="Arial"/>
          <w:b/>
          <w:color w:val="000000"/>
          <w:lang w:eastAsia="en-GB"/>
        </w:rPr>
      </w:pPr>
      <w:r w:rsidRPr="008001E3">
        <w:rPr>
          <w:rFonts w:ascii="Arial" w:hAnsi="Arial" w:cs="Arial"/>
          <w:b/>
          <w:color w:val="000000"/>
          <w:lang w:eastAsia="en-GB"/>
        </w:rPr>
        <w:t>STRATEGY FOR USING THE FUNDING</w:t>
      </w:r>
    </w:p>
    <w:p w:rsidR="00E04F7A" w:rsidRDefault="00E04F7A" w:rsidP="00E04F7A">
      <w:pPr>
        <w:shd w:val="clear" w:color="auto" w:fill="FFFFFF"/>
        <w:spacing w:after="0" w:line="240" w:lineRule="auto"/>
        <w:rPr>
          <w:rFonts w:ascii="Arial" w:hAnsi="Arial" w:cs="Arial"/>
          <w:color w:val="000000"/>
          <w:lang w:eastAsia="en-GB"/>
        </w:rPr>
      </w:pPr>
      <w:r>
        <w:rPr>
          <w:rFonts w:ascii="Arial" w:hAnsi="Arial" w:cs="Arial"/>
          <w:color w:val="000000"/>
          <w:lang w:eastAsia="en-GB"/>
        </w:rPr>
        <w:t>The school has looked carefully at the needs of each pupil and we have decided to use the following intervention strategies:</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 xml:space="preserve">Providing small group work for targeted pupils entitled to PP funding with an experienced teacher focussed on overcoming gaps in learning to help them make improved progress and to raise their standards of achievement </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professional development for teachers in order to improve teaching in Writing and Reading</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 xml:space="preserve">1:1 support for pupils entitled to PP funding to help them make improved progress and to raise their standards of achievement, </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Additional teaching and learning opportunities for pupils entitled to PP funding provided through trained TAs or external agencies, to help them make improved progress and to raise their standards of achievement</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Acquiring effective materials for pupils entitled to PP funding aimed at raising standards, particularly in reading and mathematics,</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 xml:space="preserve">All our work through the Pupil Premium is aimed at accelerating progress moving pupils entitled to PP funding to at least age related expectations. Initially this will always include basic Literacy and Numeracy skills </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Resources will also been used to provide opportunities that develop pupils talents in all curriculum areas,</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Breakfast club, including staffing and resources for pupils entitled to PP funding,</w:t>
      </w:r>
    </w:p>
    <w:p w:rsidR="00E04F7A" w:rsidRPr="00924C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a  range of extra-curricular activities across and beyond the whole school day</w:t>
      </w:r>
    </w:p>
    <w:p w:rsidR="00913D04" w:rsidRPr="007B2B27" w:rsidRDefault="00E04F7A" w:rsidP="00E04F7A">
      <w:pPr>
        <w:pStyle w:val="NoSpacing"/>
        <w:numPr>
          <w:ilvl w:val="0"/>
          <w:numId w:val="3"/>
        </w:numPr>
        <w:rPr>
          <w:rFonts w:ascii="Arial" w:hAnsi="Arial" w:cs="Arial"/>
          <w:lang w:eastAsia="en-GB"/>
        </w:rPr>
      </w:pPr>
      <w:r w:rsidRPr="00924C27">
        <w:rPr>
          <w:rFonts w:ascii="Arial" w:hAnsi="Arial" w:cs="Arial"/>
          <w:lang w:eastAsia="en-GB"/>
        </w:rPr>
        <w:t>Providing specialist human resources and interventions in order to enable all pupils entitled to PP funding to access all possible personal, socia</w:t>
      </w:r>
      <w:r w:rsidR="007B2B27">
        <w:rPr>
          <w:rFonts w:ascii="Arial" w:hAnsi="Arial" w:cs="Arial"/>
          <w:lang w:eastAsia="en-GB"/>
        </w:rPr>
        <w:t>l and educational opportunities.</w:t>
      </w:r>
      <w:bookmarkStart w:id="0" w:name="_GoBack"/>
      <w:bookmarkEnd w:id="0"/>
    </w:p>
    <w:p w:rsidR="00E04F7A" w:rsidRDefault="00E04F7A" w:rsidP="00E04F7A">
      <w:pPr>
        <w:spacing w:after="0" w:line="240" w:lineRule="auto"/>
        <w:rPr>
          <w:rFonts w:ascii="Arial" w:hAnsi="Arial" w:cs="Arial"/>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2062"/>
        <w:gridCol w:w="2062"/>
        <w:gridCol w:w="6349"/>
      </w:tblGrid>
      <w:tr w:rsidR="00913D04" w:rsidRPr="002F599B" w:rsidTr="009A4FC1">
        <w:tc>
          <w:tcPr>
            <w:tcW w:w="1597" w:type="pct"/>
            <w:shd w:val="clear" w:color="auto" w:fill="BDD6EE" w:themeFill="accent1" w:themeFillTint="66"/>
          </w:tcPr>
          <w:p w:rsidR="00913D04" w:rsidRPr="002F599B" w:rsidRDefault="00913D04" w:rsidP="00387643">
            <w:pPr>
              <w:jc w:val="center"/>
              <w:rPr>
                <w:rFonts w:ascii="Arial" w:hAnsi="Arial" w:cs="Arial"/>
                <w:b/>
              </w:rPr>
            </w:pPr>
            <w:r w:rsidRPr="002F599B">
              <w:rPr>
                <w:rFonts w:ascii="Arial" w:hAnsi="Arial" w:cs="Arial"/>
                <w:b/>
              </w:rPr>
              <w:t>Expenditure category</w:t>
            </w:r>
          </w:p>
        </w:tc>
        <w:tc>
          <w:tcPr>
            <w:tcW w:w="670" w:type="pct"/>
            <w:shd w:val="clear" w:color="auto" w:fill="BDD6EE" w:themeFill="accent1" w:themeFillTint="66"/>
          </w:tcPr>
          <w:p w:rsidR="00913D04" w:rsidRDefault="00913D04" w:rsidP="00913D04">
            <w:pPr>
              <w:jc w:val="center"/>
              <w:rPr>
                <w:rFonts w:ascii="Arial" w:hAnsi="Arial" w:cs="Arial"/>
                <w:b/>
              </w:rPr>
            </w:pPr>
            <w:r w:rsidRPr="002F599B">
              <w:rPr>
                <w:rFonts w:ascii="Arial" w:hAnsi="Arial" w:cs="Arial"/>
                <w:b/>
              </w:rPr>
              <w:t xml:space="preserve">Allocated </w:t>
            </w:r>
          </w:p>
          <w:p w:rsidR="00913D04" w:rsidRPr="002F599B" w:rsidRDefault="00913D04" w:rsidP="00913D04">
            <w:pPr>
              <w:jc w:val="center"/>
              <w:rPr>
                <w:rFonts w:ascii="Arial" w:hAnsi="Arial" w:cs="Arial"/>
                <w:b/>
              </w:rPr>
            </w:pPr>
            <w:r>
              <w:rPr>
                <w:rFonts w:ascii="Arial" w:hAnsi="Arial" w:cs="Arial"/>
                <w:b/>
              </w:rPr>
              <w:t>Expenditure</w:t>
            </w:r>
          </w:p>
        </w:tc>
        <w:tc>
          <w:tcPr>
            <w:tcW w:w="670" w:type="pct"/>
            <w:shd w:val="clear" w:color="auto" w:fill="BDD6EE" w:themeFill="accent1" w:themeFillTint="66"/>
          </w:tcPr>
          <w:p w:rsidR="00913D04" w:rsidRDefault="00913D04" w:rsidP="00387643">
            <w:pPr>
              <w:jc w:val="center"/>
              <w:rPr>
                <w:rFonts w:ascii="Arial" w:hAnsi="Arial" w:cs="Arial"/>
                <w:b/>
              </w:rPr>
            </w:pPr>
            <w:r>
              <w:rPr>
                <w:rFonts w:ascii="Arial" w:hAnsi="Arial" w:cs="Arial"/>
                <w:b/>
              </w:rPr>
              <w:t>Actual</w:t>
            </w:r>
          </w:p>
          <w:p w:rsidR="00913D04" w:rsidRPr="002F599B" w:rsidRDefault="00913D04" w:rsidP="00387643">
            <w:pPr>
              <w:jc w:val="center"/>
              <w:rPr>
                <w:rFonts w:ascii="Arial" w:hAnsi="Arial" w:cs="Arial"/>
                <w:b/>
              </w:rPr>
            </w:pPr>
            <w:r>
              <w:rPr>
                <w:rFonts w:ascii="Arial" w:hAnsi="Arial" w:cs="Arial"/>
                <w:b/>
              </w:rPr>
              <w:t>Expenditure</w:t>
            </w:r>
          </w:p>
        </w:tc>
        <w:tc>
          <w:tcPr>
            <w:tcW w:w="2063" w:type="pct"/>
            <w:shd w:val="clear" w:color="auto" w:fill="BDD6EE" w:themeFill="accent1" w:themeFillTint="66"/>
          </w:tcPr>
          <w:p w:rsidR="00913D04" w:rsidRPr="002F599B" w:rsidRDefault="00913D04" w:rsidP="00387643">
            <w:pPr>
              <w:jc w:val="center"/>
              <w:rPr>
                <w:rFonts w:ascii="Arial" w:hAnsi="Arial" w:cs="Arial"/>
                <w:b/>
              </w:rPr>
            </w:pPr>
            <w:r w:rsidRPr="002F599B">
              <w:rPr>
                <w:rFonts w:ascii="Arial" w:hAnsi="Arial" w:cs="Arial"/>
                <w:b/>
              </w:rPr>
              <w:t>Strategy for using the funding</w:t>
            </w:r>
          </w:p>
        </w:tc>
      </w:tr>
      <w:tr w:rsidR="00913D04" w:rsidRPr="002F599B" w:rsidTr="00913D04">
        <w:tc>
          <w:tcPr>
            <w:tcW w:w="1597" w:type="pct"/>
            <w:shd w:val="clear" w:color="auto" w:fill="auto"/>
          </w:tcPr>
          <w:p w:rsidR="00913D04" w:rsidRDefault="00913D04" w:rsidP="00913D04">
            <w:pPr>
              <w:rPr>
                <w:rFonts w:ascii="Arial" w:hAnsi="Arial" w:cs="Arial"/>
              </w:rPr>
            </w:pPr>
            <w:r w:rsidRPr="002F599B">
              <w:rPr>
                <w:rFonts w:ascii="Arial" w:hAnsi="Arial" w:cs="Arial"/>
              </w:rPr>
              <w:t>Specialist Provision</w:t>
            </w:r>
            <w:r>
              <w:rPr>
                <w:rFonts w:ascii="Arial" w:hAnsi="Arial" w:cs="Arial"/>
              </w:rPr>
              <w:t>- IT Equipment,</w:t>
            </w:r>
          </w:p>
          <w:p w:rsidR="00913D04" w:rsidRPr="002F599B" w:rsidRDefault="00913D04" w:rsidP="00913D04">
            <w:pPr>
              <w:rPr>
                <w:rFonts w:ascii="Arial" w:hAnsi="Arial" w:cs="Arial"/>
              </w:rPr>
            </w:pPr>
            <w:r>
              <w:rPr>
                <w:rFonts w:ascii="Arial" w:hAnsi="Arial" w:cs="Arial"/>
              </w:rPr>
              <w:t>Music Tuition, 1:1 Reading TAs and Behaviour Support</w:t>
            </w:r>
            <w:r>
              <w:rPr>
                <w:rFonts w:ascii="Arial" w:hAnsi="Arial" w:cs="Arial"/>
              </w:rPr>
              <w:tab/>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£68,279</w:t>
            </w:r>
          </w:p>
        </w:tc>
        <w:tc>
          <w:tcPr>
            <w:tcW w:w="670" w:type="pct"/>
          </w:tcPr>
          <w:p w:rsidR="00913D04" w:rsidRPr="002F599B" w:rsidRDefault="00675CD7" w:rsidP="003D13A3">
            <w:pPr>
              <w:jc w:val="right"/>
              <w:rPr>
                <w:rFonts w:ascii="Arial" w:hAnsi="Arial" w:cs="Arial"/>
              </w:rPr>
            </w:pPr>
            <w:r>
              <w:rPr>
                <w:rFonts w:ascii="Arial" w:hAnsi="Arial" w:cs="Arial"/>
              </w:rPr>
              <w:t>£65,712</w:t>
            </w: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To provide a variety of support and input from specialist</w:t>
            </w:r>
            <w:r>
              <w:rPr>
                <w:rFonts w:ascii="Arial" w:hAnsi="Arial" w:cs="Arial"/>
              </w:rPr>
              <w:t>s</w:t>
            </w:r>
            <w:r w:rsidRPr="002F599B">
              <w:rPr>
                <w:rFonts w:ascii="Arial" w:hAnsi="Arial" w:cs="Arial"/>
              </w:rPr>
              <w:t xml:space="preserve"> including </w:t>
            </w:r>
            <w:r>
              <w:rPr>
                <w:rFonts w:ascii="Arial" w:hAnsi="Arial" w:cs="Arial"/>
              </w:rPr>
              <w:t>music, SEND additional provision based at The Bridge, Specific staff working 1:1 with targeted pupils for reading, behaviour support TA3, IT resources within school to meet the demands of the new NC</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Targeted support and intervention</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£100,277</w:t>
            </w:r>
          </w:p>
        </w:tc>
        <w:tc>
          <w:tcPr>
            <w:tcW w:w="670" w:type="pct"/>
          </w:tcPr>
          <w:p w:rsidR="00913D04" w:rsidRDefault="007B2B27" w:rsidP="001E223E">
            <w:pPr>
              <w:jc w:val="right"/>
              <w:rPr>
                <w:rFonts w:ascii="Arial" w:hAnsi="Arial" w:cs="Arial"/>
              </w:rPr>
            </w:pPr>
            <w:r>
              <w:rPr>
                <w:rFonts w:ascii="Arial" w:hAnsi="Arial" w:cs="Arial"/>
              </w:rPr>
              <w:t>£</w:t>
            </w:r>
            <w:r w:rsidR="00675CD7">
              <w:rPr>
                <w:rFonts w:ascii="Arial" w:hAnsi="Arial" w:cs="Arial"/>
              </w:rPr>
              <w:t>93,735</w:t>
            </w:r>
          </w:p>
        </w:tc>
        <w:tc>
          <w:tcPr>
            <w:tcW w:w="2063" w:type="pct"/>
            <w:shd w:val="clear" w:color="auto" w:fill="auto"/>
          </w:tcPr>
          <w:p w:rsidR="00913D04" w:rsidRPr="002F599B" w:rsidRDefault="00913D04" w:rsidP="00913D04">
            <w:pPr>
              <w:rPr>
                <w:rFonts w:ascii="Arial" w:hAnsi="Arial" w:cs="Arial"/>
              </w:rPr>
            </w:pPr>
            <w:r>
              <w:rPr>
                <w:rFonts w:ascii="Arial" w:hAnsi="Arial" w:cs="Arial"/>
              </w:rPr>
              <w:t>Specific targeted teaching delivered by Beehive Nurture provision, Anchor Education, SALT, City in the Community, FFT, Specialist SEND teachers, EP support and Passport to Learning</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Life skills and experience</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£54,051</w:t>
            </w:r>
          </w:p>
        </w:tc>
        <w:tc>
          <w:tcPr>
            <w:tcW w:w="670" w:type="pct"/>
          </w:tcPr>
          <w:p w:rsidR="00913D04" w:rsidRPr="002F599B" w:rsidRDefault="00675CD7" w:rsidP="001E223E">
            <w:pPr>
              <w:jc w:val="right"/>
              <w:rPr>
                <w:rFonts w:ascii="Arial" w:hAnsi="Arial" w:cs="Arial"/>
              </w:rPr>
            </w:pPr>
            <w:r>
              <w:rPr>
                <w:rFonts w:ascii="Arial" w:hAnsi="Arial" w:cs="Arial"/>
              </w:rPr>
              <w:t>£12,265</w:t>
            </w: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 xml:space="preserve">Extending children’s life experiences and enriching the curriculum through trips, residential trips and visitors. Enriching the curriculum through extending learning beyond the classroom providing a broad, balanced range of experiences. e.g. Wild Tribe, residential visits to London and Ghyll Head, </w:t>
            </w:r>
            <w:r w:rsidR="007B2B27">
              <w:rPr>
                <w:rFonts w:ascii="Arial" w:hAnsi="Arial" w:cs="Arial"/>
              </w:rPr>
              <w:t xml:space="preserve">RRSA, </w:t>
            </w:r>
            <w:r w:rsidRPr="002F599B">
              <w:rPr>
                <w:rFonts w:ascii="Arial" w:hAnsi="Arial" w:cs="Arial"/>
              </w:rPr>
              <w:t xml:space="preserve">garden and </w:t>
            </w:r>
            <w:r>
              <w:rPr>
                <w:rFonts w:ascii="Arial" w:hAnsi="Arial" w:cs="Arial"/>
              </w:rPr>
              <w:t>woodwork</w:t>
            </w:r>
            <w:r w:rsidRPr="002F599B">
              <w:rPr>
                <w:rFonts w:ascii="Arial" w:hAnsi="Arial" w:cs="Arial"/>
              </w:rPr>
              <w:t>.</w:t>
            </w:r>
          </w:p>
        </w:tc>
      </w:tr>
      <w:tr w:rsidR="00913D04" w:rsidRPr="002F599B" w:rsidTr="00913D04">
        <w:trPr>
          <w:trHeight w:val="1542"/>
        </w:trPr>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 xml:space="preserve">Lunchtime </w:t>
            </w:r>
            <w:r>
              <w:rPr>
                <w:rFonts w:ascii="Arial" w:hAnsi="Arial" w:cs="Arial"/>
              </w:rPr>
              <w:t>Activities</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£4,185</w:t>
            </w:r>
          </w:p>
        </w:tc>
        <w:tc>
          <w:tcPr>
            <w:tcW w:w="670" w:type="pct"/>
          </w:tcPr>
          <w:p w:rsidR="00913D04" w:rsidRPr="00924C27" w:rsidRDefault="00675CD7" w:rsidP="001E223E">
            <w:pPr>
              <w:autoSpaceDE w:val="0"/>
              <w:autoSpaceDN w:val="0"/>
              <w:adjustRightInd w:val="0"/>
              <w:spacing w:after="0" w:line="240" w:lineRule="auto"/>
              <w:ind w:left="-103"/>
              <w:jc w:val="right"/>
              <w:rPr>
                <w:rFonts w:ascii="Arial" w:hAnsi="Arial" w:cs="Arial"/>
              </w:rPr>
            </w:pPr>
            <w:r>
              <w:rPr>
                <w:rFonts w:ascii="Arial" w:hAnsi="Arial" w:cs="Arial"/>
              </w:rPr>
              <w:t>£4,183</w:t>
            </w:r>
          </w:p>
        </w:tc>
        <w:tc>
          <w:tcPr>
            <w:tcW w:w="2063" w:type="pct"/>
            <w:shd w:val="clear" w:color="auto" w:fill="auto"/>
          </w:tcPr>
          <w:tbl>
            <w:tblPr>
              <w:tblW w:w="0" w:type="auto"/>
              <w:tblBorders>
                <w:top w:val="nil"/>
                <w:left w:val="nil"/>
                <w:bottom w:val="nil"/>
                <w:right w:val="nil"/>
              </w:tblBorders>
              <w:tblLook w:val="0000" w:firstRow="0" w:lastRow="0" w:firstColumn="0" w:lastColumn="0" w:noHBand="0" w:noVBand="0"/>
            </w:tblPr>
            <w:tblGrid>
              <w:gridCol w:w="6133"/>
            </w:tblGrid>
            <w:tr w:rsidR="00913D04" w:rsidRPr="00924C27" w:rsidTr="00387643">
              <w:trPr>
                <w:trHeight w:val="58"/>
              </w:trPr>
              <w:tc>
                <w:tcPr>
                  <w:tcW w:w="0" w:type="auto"/>
                </w:tcPr>
                <w:p w:rsidR="00913D04" w:rsidRPr="00924C27" w:rsidRDefault="00913D04" w:rsidP="00913D04">
                  <w:pPr>
                    <w:autoSpaceDE w:val="0"/>
                    <w:autoSpaceDN w:val="0"/>
                    <w:adjustRightInd w:val="0"/>
                    <w:spacing w:after="0" w:line="240" w:lineRule="auto"/>
                    <w:ind w:left="-103"/>
                    <w:rPr>
                      <w:rFonts w:ascii="Arial" w:eastAsia="Calibri" w:hAnsi="Arial" w:cs="Arial"/>
                      <w:color w:val="000000"/>
                    </w:rPr>
                  </w:pPr>
                  <w:r w:rsidRPr="00924C27">
                    <w:rPr>
                      <w:rFonts w:ascii="Arial" w:hAnsi="Arial" w:cs="Arial"/>
                    </w:rPr>
                    <w:t>To ensure that all children feel safe at all times of the day providing relevant small group or 1:1 support an</w:t>
                  </w:r>
                  <w:r w:rsidRPr="00924C27">
                    <w:rPr>
                      <w:rFonts w:ascii="Arial" w:eastAsia="Calibri" w:hAnsi="Arial" w:cs="Arial"/>
                      <w:color w:val="000000"/>
                    </w:rPr>
                    <w:t>d ensures that they are able to get straight onto learning after lunch</w:t>
                  </w:r>
                  <w:r>
                    <w:rPr>
                      <w:rFonts w:ascii="Arial" w:eastAsia="Calibri" w:hAnsi="Arial" w:cs="Arial"/>
                      <w:color w:val="000000"/>
                    </w:rPr>
                    <w:t>.</w:t>
                  </w:r>
                </w:p>
              </w:tc>
            </w:tr>
          </w:tbl>
          <w:p w:rsidR="00913D04" w:rsidRPr="002F599B" w:rsidRDefault="00913D04" w:rsidP="00913D04">
            <w:pPr>
              <w:rPr>
                <w:rFonts w:ascii="Arial" w:hAnsi="Arial" w:cs="Arial"/>
              </w:rPr>
            </w:pP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Every Child a Reader</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£35,439</w:t>
            </w:r>
          </w:p>
        </w:tc>
        <w:tc>
          <w:tcPr>
            <w:tcW w:w="670" w:type="pct"/>
          </w:tcPr>
          <w:p w:rsidR="00913D04" w:rsidRDefault="00675CD7" w:rsidP="001E223E">
            <w:pPr>
              <w:jc w:val="right"/>
              <w:rPr>
                <w:rFonts w:ascii="Arial" w:hAnsi="Arial" w:cs="Arial"/>
              </w:rPr>
            </w:pPr>
            <w:r>
              <w:rPr>
                <w:rFonts w:ascii="Arial" w:hAnsi="Arial" w:cs="Arial"/>
              </w:rPr>
              <w:t>£35,239</w:t>
            </w:r>
          </w:p>
        </w:tc>
        <w:tc>
          <w:tcPr>
            <w:tcW w:w="2063" w:type="pct"/>
            <w:shd w:val="clear" w:color="auto" w:fill="auto"/>
          </w:tcPr>
          <w:p w:rsidR="00913D04" w:rsidRPr="002F599B" w:rsidRDefault="00913D04" w:rsidP="00913D04">
            <w:pPr>
              <w:rPr>
                <w:rFonts w:ascii="Arial" w:hAnsi="Arial" w:cs="Arial"/>
              </w:rPr>
            </w:pPr>
            <w:r>
              <w:rPr>
                <w:rFonts w:ascii="Arial" w:hAnsi="Arial" w:cs="Arial"/>
              </w:rPr>
              <w:t>Development of the reading environments throughout the school to foster a love of reading. Ensure the best resources are available to all children</w:t>
            </w:r>
            <w:r w:rsidRPr="002F599B">
              <w:rPr>
                <w:rFonts w:ascii="Arial" w:hAnsi="Arial" w:cs="Arial"/>
              </w:rPr>
              <w:t xml:space="preserve"> </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Before / after school programme</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£3,545</w:t>
            </w:r>
          </w:p>
        </w:tc>
        <w:tc>
          <w:tcPr>
            <w:tcW w:w="670" w:type="pct"/>
          </w:tcPr>
          <w:p w:rsidR="00913D04" w:rsidRPr="002F599B" w:rsidRDefault="00675CD7" w:rsidP="001E223E">
            <w:pPr>
              <w:jc w:val="right"/>
              <w:rPr>
                <w:rFonts w:ascii="Arial" w:hAnsi="Arial" w:cs="Arial"/>
              </w:rPr>
            </w:pPr>
            <w:r>
              <w:rPr>
                <w:rFonts w:ascii="Arial" w:hAnsi="Arial" w:cs="Arial"/>
              </w:rPr>
              <w:t>£1,159</w:t>
            </w: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To ensure high quality provision outside of the school day supporting healthy life choices and supporting children with homework as well as developing problem solving and team work</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lastRenderedPageBreak/>
              <w:t xml:space="preserve">Parent </w:t>
            </w:r>
            <w:r>
              <w:rPr>
                <w:rFonts w:ascii="Arial" w:hAnsi="Arial" w:cs="Arial"/>
              </w:rPr>
              <w:t>Support / Community Liaison</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£18,683</w:t>
            </w:r>
          </w:p>
        </w:tc>
        <w:tc>
          <w:tcPr>
            <w:tcW w:w="670" w:type="pct"/>
          </w:tcPr>
          <w:p w:rsidR="00913D04" w:rsidRPr="002F599B" w:rsidRDefault="00675CD7" w:rsidP="001E223E">
            <w:pPr>
              <w:jc w:val="right"/>
              <w:rPr>
                <w:rFonts w:ascii="Arial" w:hAnsi="Arial" w:cs="Arial"/>
              </w:rPr>
            </w:pPr>
            <w:r>
              <w:rPr>
                <w:rFonts w:ascii="Arial" w:hAnsi="Arial" w:cs="Arial"/>
              </w:rPr>
              <w:t>£17,735</w:t>
            </w: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Providing support to families ensuring safeguarding of pupils which impacts directly on Children’s well-being and readiness to learn. This forms a valuable part of our Early Help initiatives within school</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Uniform</w:t>
            </w:r>
            <w:r>
              <w:rPr>
                <w:rFonts w:ascii="Arial" w:hAnsi="Arial" w:cs="Arial"/>
              </w:rPr>
              <w:t xml:space="preserve"> / Refreshments</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£4,500</w:t>
            </w:r>
          </w:p>
        </w:tc>
        <w:tc>
          <w:tcPr>
            <w:tcW w:w="670" w:type="pct"/>
          </w:tcPr>
          <w:p w:rsidR="00913D04" w:rsidRPr="002F599B" w:rsidRDefault="00675CD7" w:rsidP="001E223E">
            <w:pPr>
              <w:jc w:val="right"/>
              <w:rPr>
                <w:rFonts w:ascii="Arial" w:hAnsi="Arial" w:cs="Arial"/>
              </w:rPr>
            </w:pPr>
            <w:r>
              <w:rPr>
                <w:rFonts w:ascii="Arial" w:hAnsi="Arial" w:cs="Arial"/>
              </w:rPr>
              <w:t>£4,024</w:t>
            </w: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To ensure that all children are equipped to enable them to participate fully in school life</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Gifted and Talented</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£1020</w:t>
            </w:r>
          </w:p>
        </w:tc>
        <w:tc>
          <w:tcPr>
            <w:tcW w:w="670" w:type="pct"/>
          </w:tcPr>
          <w:p w:rsidR="00913D04" w:rsidRPr="002F599B" w:rsidRDefault="00675CD7" w:rsidP="001E223E">
            <w:pPr>
              <w:jc w:val="right"/>
              <w:rPr>
                <w:rFonts w:ascii="Arial" w:hAnsi="Arial" w:cs="Arial"/>
              </w:rPr>
            </w:pPr>
            <w:r>
              <w:rPr>
                <w:rFonts w:ascii="Arial" w:hAnsi="Arial" w:cs="Arial"/>
              </w:rPr>
              <w:t>£855</w:t>
            </w: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Proving opportunities for able pupils to develop talents and ensure they achieve their true potential in cooperation with MGS, Lifestyle Centre and other partners</w:t>
            </w:r>
          </w:p>
        </w:tc>
      </w:tr>
      <w:tr w:rsidR="00913D04" w:rsidRPr="002F599B" w:rsidTr="00913D04">
        <w:tc>
          <w:tcPr>
            <w:tcW w:w="1597" w:type="pct"/>
            <w:shd w:val="clear" w:color="auto" w:fill="auto"/>
          </w:tcPr>
          <w:p w:rsidR="00913D04" w:rsidRPr="002F599B" w:rsidRDefault="00913D04" w:rsidP="00913D04">
            <w:pPr>
              <w:rPr>
                <w:rFonts w:ascii="Arial" w:hAnsi="Arial" w:cs="Arial"/>
              </w:rPr>
            </w:pPr>
            <w:r w:rsidRPr="002F599B">
              <w:rPr>
                <w:rFonts w:ascii="Arial" w:hAnsi="Arial" w:cs="Arial"/>
              </w:rPr>
              <w:t xml:space="preserve">Attendance and punctuality </w:t>
            </w:r>
          </w:p>
        </w:tc>
        <w:tc>
          <w:tcPr>
            <w:tcW w:w="670" w:type="pct"/>
            <w:shd w:val="clear" w:color="auto" w:fill="auto"/>
          </w:tcPr>
          <w:p w:rsidR="00913D04" w:rsidRPr="002F599B" w:rsidRDefault="00675CD7" w:rsidP="00913D04">
            <w:pPr>
              <w:jc w:val="right"/>
              <w:rPr>
                <w:rFonts w:ascii="Arial" w:hAnsi="Arial" w:cs="Arial"/>
              </w:rPr>
            </w:pPr>
            <w:r>
              <w:rPr>
                <w:rFonts w:ascii="Arial" w:hAnsi="Arial" w:cs="Arial"/>
              </w:rPr>
              <w:t>£22,356</w:t>
            </w:r>
          </w:p>
        </w:tc>
        <w:tc>
          <w:tcPr>
            <w:tcW w:w="670" w:type="pct"/>
          </w:tcPr>
          <w:p w:rsidR="00913D04" w:rsidRPr="002F599B" w:rsidRDefault="00675CD7" w:rsidP="001E223E">
            <w:pPr>
              <w:jc w:val="right"/>
              <w:rPr>
                <w:rFonts w:ascii="Arial" w:hAnsi="Arial" w:cs="Arial"/>
              </w:rPr>
            </w:pPr>
            <w:r>
              <w:rPr>
                <w:rFonts w:ascii="Arial" w:hAnsi="Arial" w:cs="Arial"/>
              </w:rPr>
              <w:t>£20,113</w:t>
            </w:r>
          </w:p>
        </w:tc>
        <w:tc>
          <w:tcPr>
            <w:tcW w:w="2063" w:type="pct"/>
            <w:shd w:val="clear" w:color="auto" w:fill="auto"/>
          </w:tcPr>
          <w:p w:rsidR="00913D04" w:rsidRPr="002F599B" w:rsidRDefault="00913D04" w:rsidP="00913D04">
            <w:pPr>
              <w:rPr>
                <w:rFonts w:ascii="Arial" w:hAnsi="Arial" w:cs="Arial"/>
              </w:rPr>
            </w:pPr>
            <w:r w:rsidRPr="002F599B">
              <w:rPr>
                <w:rFonts w:ascii="Arial" w:hAnsi="Arial" w:cs="Arial"/>
              </w:rPr>
              <w:t>Providing support to families and staff</w:t>
            </w:r>
            <w:r>
              <w:rPr>
                <w:rFonts w:ascii="Arial" w:hAnsi="Arial" w:cs="Arial"/>
              </w:rPr>
              <w:t xml:space="preserve"> vis an attendance officer, incentives and rewards</w:t>
            </w:r>
            <w:r w:rsidRPr="002F599B">
              <w:rPr>
                <w:rFonts w:ascii="Arial" w:hAnsi="Arial" w:cs="Arial"/>
              </w:rPr>
              <w:t>, ensuring all children are in school every day and on time to access the curriculum and maximise learning.</w:t>
            </w:r>
          </w:p>
        </w:tc>
      </w:tr>
      <w:tr w:rsidR="00675CD7" w:rsidRPr="002F599B" w:rsidTr="00913D04">
        <w:tc>
          <w:tcPr>
            <w:tcW w:w="1597" w:type="pct"/>
            <w:shd w:val="clear" w:color="auto" w:fill="auto"/>
          </w:tcPr>
          <w:p w:rsidR="00675CD7" w:rsidRPr="002F599B" w:rsidRDefault="00675CD7" w:rsidP="00675CD7">
            <w:pPr>
              <w:rPr>
                <w:rFonts w:ascii="Arial" w:hAnsi="Arial" w:cs="Arial"/>
              </w:rPr>
            </w:pPr>
            <w:r>
              <w:rPr>
                <w:rFonts w:ascii="Arial" w:hAnsi="Arial" w:cs="Arial"/>
              </w:rPr>
              <w:t>Total Allocated for 2019-20</w:t>
            </w:r>
          </w:p>
        </w:tc>
        <w:tc>
          <w:tcPr>
            <w:tcW w:w="670" w:type="pct"/>
            <w:shd w:val="clear" w:color="auto" w:fill="auto"/>
          </w:tcPr>
          <w:p w:rsidR="00675CD7" w:rsidRPr="002F599B" w:rsidRDefault="00675CD7" w:rsidP="00675CD7">
            <w:pPr>
              <w:jc w:val="right"/>
              <w:rPr>
                <w:rFonts w:ascii="Arial" w:hAnsi="Arial" w:cs="Arial"/>
              </w:rPr>
            </w:pPr>
            <w:r>
              <w:rPr>
                <w:rFonts w:ascii="Arial" w:hAnsi="Arial" w:cs="Arial"/>
              </w:rPr>
              <w:t>£312,335</w:t>
            </w:r>
          </w:p>
        </w:tc>
        <w:tc>
          <w:tcPr>
            <w:tcW w:w="670" w:type="pct"/>
          </w:tcPr>
          <w:p w:rsidR="00675CD7" w:rsidRPr="002F599B" w:rsidRDefault="00675CD7" w:rsidP="007B2B27">
            <w:pPr>
              <w:jc w:val="right"/>
              <w:rPr>
                <w:rFonts w:ascii="Arial" w:hAnsi="Arial" w:cs="Arial"/>
              </w:rPr>
            </w:pPr>
            <w:r>
              <w:rPr>
                <w:rFonts w:ascii="Arial" w:hAnsi="Arial" w:cs="Arial"/>
              </w:rPr>
              <w:t>£255,0</w:t>
            </w:r>
            <w:r w:rsidR="007B2B27">
              <w:rPr>
                <w:rFonts w:ascii="Arial" w:hAnsi="Arial" w:cs="Arial"/>
              </w:rPr>
              <w:t>20</w:t>
            </w:r>
          </w:p>
        </w:tc>
        <w:tc>
          <w:tcPr>
            <w:tcW w:w="2063" w:type="pct"/>
            <w:vMerge w:val="restart"/>
            <w:shd w:val="clear" w:color="auto" w:fill="auto"/>
          </w:tcPr>
          <w:p w:rsidR="00675CD7" w:rsidRPr="002F599B" w:rsidRDefault="00675CD7" w:rsidP="00675CD7">
            <w:pPr>
              <w:rPr>
                <w:rFonts w:ascii="Arial" w:hAnsi="Arial" w:cs="Arial"/>
              </w:rPr>
            </w:pPr>
          </w:p>
        </w:tc>
      </w:tr>
      <w:tr w:rsidR="00675CD7" w:rsidRPr="002F599B" w:rsidTr="00913D04">
        <w:tc>
          <w:tcPr>
            <w:tcW w:w="1597" w:type="pct"/>
            <w:shd w:val="clear" w:color="auto" w:fill="auto"/>
          </w:tcPr>
          <w:p w:rsidR="00675CD7" w:rsidRPr="002F599B" w:rsidRDefault="00675CD7" w:rsidP="00675CD7">
            <w:pPr>
              <w:rPr>
                <w:rFonts w:ascii="Arial" w:hAnsi="Arial" w:cs="Arial"/>
              </w:rPr>
            </w:pPr>
            <w:r>
              <w:rPr>
                <w:rFonts w:ascii="Arial" w:hAnsi="Arial" w:cs="Arial"/>
              </w:rPr>
              <w:t>Total received for 2019-20</w:t>
            </w:r>
          </w:p>
        </w:tc>
        <w:tc>
          <w:tcPr>
            <w:tcW w:w="670" w:type="pct"/>
            <w:shd w:val="clear" w:color="auto" w:fill="auto"/>
          </w:tcPr>
          <w:p w:rsidR="00675CD7" w:rsidRPr="002F599B" w:rsidRDefault="00675CD7" w:rsidP="00675CD7">
            <w:pPr>
              <w:jc w:val="right"/>
              <w:rPr>
                <w:rFonts w:ascii="Arial" w:hAnsi="Arial" w:cs="Arial"/>
              </w:rPr>
            </w:pPr>
            <w:r>
              <w:rPr>
                <w:rFonts w:ascii="Arial" w:hAnsi="Arial" w:cs="Arial"/>
              </w:rPr>
              <w:t>£312,452</w:t>
            </w:r>
          </w:p>
        </w:tc>
        <w:tc>
          <w:tcPr>
            <w:tcW w:w="670" w:type="pct"/>
          </w:tcPr>
          <w:p w:rsidR="00675CD7" w:rsidRPr="002F599B" w:rsidRDefault="00675CD7" w:rsidP="00675CD7">
            <w:pPr>
              <w:jc w:val="right"/>
              <w:rPr>
                <w:rFonts w:ascii="Arial" w:hAnsi="Arial" w:cs="Arial"/>
              </w:rPr>
            </w:pPr>
            <w:r>
              <w:rPr>
                <w:rFonts w:ascii="Arial" w:hAnsi="Arial" w:cs="Arial"/>
              </w:rPr>
              <w:t>£326,433</w:t>
            </w:r>
          </w:p>
        </w:tc>
        <w:tc>
          <w:tcPr>
            <w:tcW w:w="2063" w:type="pct"/>
            <w:vMerge/>
            <w:shd w:val="clear" w:color="auto" w:fill="auto"/>
          </w:tcPr>
          <w:p w:rsidR="00675CD7" w:rsidRPr="002F599B" w:rsidRDefault="00675CD7" w:rsidP="00675CD7">
            <w:pPr>
              <w:rPr>
                <w:rFonts w:ascii="Arial" w:hAnsi="Arial" w:cs="Arial"/>
              </w:rPr>
            </w:pPr>
          </w:p>
        </w:tc>
      </w:tr>
      <w:tr w:rsidR="00675CD7" w:rsidRPr="003D13A3" w:rsidTr="00913D04">
        <w:tc>
          <w:tcPr>
            <w:tcW w:w="1597" w:type="pct"/>
            <w:shd w:val="clear" w:color="auto" w:fill="auto"/>
          </w:tcPr>
          <w:p w:rsidR="00675CD7" w:rsidRPr="003D13A3" w:rsidRDefault="00675CD7" w:rsidP="00675CD7">
            <w:pPr>
              <w:rPr>
                <w:rFonts w:ascii="Arial" w:hAnsi="Arial" w:cs="Arial"/>
                <w:b/>
              </w:rPr>
            </w:pPr>
            <w:r w:rsidRPr="003D13A3">
              <w:rPr>
                <w:rFonts w:ascii="Arial" w:hAnsi="Arial" w:cs="Arial"/>
                <w:b/>
              </w:rPr>
              <w:t>Total remaining</w:t>
            </w:r>
            <w:r>
              <w:rPr>
                <w:rFonts w:ascii="Arial" w:hAnsi="Arial" w:cs="Arial"/>
                <w:b/>
              </w:rPr>
              <w:t xml:space="preserve"> / carry forward to next academic year</w:t>
            </w:r>
          </w:p>
        </w:tc>
        <w:tc>
          <w:tcPr>
            <w:tcW w:w="670" w:type="pct"/>
            <w:shd w:val="clear" w:color="auto" w:fill="auto"/>
          </w:tcPr>
          <w:p w:rsidR="00675CD7" w:rsidRPr="003D13A3" w:rsidRDefault="00675CD7" w:rsidP="00675CD7">
            <w:pPr>
              <w:jc w:val="right"/>
              <w:rPr>
                <w:rFonts w:ascii="Arial" w:hAnsi="Arial" w:cs="Arial"/>
                <w:b/>
              </w:rPr>
            </w:pPr>
            <w:r>
              <w:rPr>
                <w:rFonts w:ascii="Arial" w:hAnsi="Arial" w:cs="Arial"/>
                <w:b/>
              </w:rPr>
              <w:t>£117</w:t>
            </w:r>
          </w:p>
        </w:tc>
        <w:tc>
          <w:tcPr>
            <w:tcW w:w="670" w:type="pct"/>
          </w:tcPr>
          <w:p w:rsidR="00675CD7" w:rsidRPr="003D13A3" w:rsidRDefault="00675CD7" w:rsidP="007B2B27">
            <w:pPr>
              <w:jc w:val="right"/>
              <w:rPr>
                <w:rFonts w:ascii="Arial" w:hAnsi="Arial" w:cs="Arial"/>
                <w:b/>
              </w:rPr>
            </w:pPr>
            <w:r>
              <w:rPr>
                <w:rFonts w:ascii="Arial" w:hAnsi="Arial" w:cs="Arial"/>
                <w:b/>
              </w:rPr>
              <w:t>£71,41</w:t>
            </w:r>
            <w:r w:rsidR="007B2B27">
              <w:rPr>
                <w:rFonts w:ascii="Arial" w:hAnsi="Arial" w:cs="Arial"/>
                <w:b/>
              </w:rPr>
              <w:t>3</w:t>
            </w:r>
          </w:p>
        </w:tc>
        <w:tc>
          <w:tcPr>
            <w:tcW w:w="2063" w:type="pct"/>
            <w:vMerge/>
            <w:shd w:val="clear" w:color="auto" w:fill="auto"/>
          </w:tcPr>
          <w:p w:rsidR="00675CD7" w:rsidRPr="003D13A3" w:rsidRDefault="00675CD7" w:rsidP="00675CD7">
            <w:pPr>
              <w:rPr>
                <w:rFonts w:ascii="Arial" w:hAnsi="Arial" w:cs="Arial"/>
                <w:b/>
              </w:rPr>
            </w:pPr>
          </w:p>
        </w:tc>
      </w:tr>
    </w:tbl>
    <w:p w:rsidR="00E04F7A" w:rsidRPr="003D13A3" w:rsidRDefault="00E04F7A" w:rsidP="00E04F7A">
      <w:pPr>
        <w:spacing w:after="0" w:line="240" w:lineRule="auto"/>
        <w:rPr>
          <w:rFonts w:ascii="Arial" w:hAnsi="Arial" w:cs="Arial"/>
          <w:b/>
          <w:lang w:eastAsia="en-GB"/>
        </w:rPr>
      </w:pPr>
    </w:p>
    <w:p w:rsidR="0043418D" w:rsidRDefault="007B2B27"/>
    <w:sectPr w:rsidR="0043418D" w:rsidSect="007C45C1">
      <w:pgSz w:w="16838" w:h="11906" w:orient="landscape"/>
      <w:pgMar w:top="720" w:right="720" w:bottom="720" w:left="72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355821ED"/>
    <w:multiLevelType w:val="hybridMultilevel"/>
    <w:tmpl w:val="54B88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5B251E"/>
    <w:multiLevelType w:val="hybridMultilevel"/>
    <w:tmpl w:val="65C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7A"/>
    <w:rsid w:val="001E223E"/>
    <w:rsid w:val="003D13A3"/>
    <w:rsid w:val="00675CD7"/>
    <w:rsid w:val="00686557"/>
    <w:rsid w:val="00776DB5"/>
    <w:rsid w:val="007B2B27"/>
    <w:rsid w:val="007C45C1"/>
    <w:rsid w:val="00913D04"/>
    <w:rsid w:val="009A4FC1"/>
    <w:rsid w:val="00DF704A"/>
    <w:rsid w:val="00E04F7A"/>
    <w:rsid w:val="00F4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53FA"/>
  <w15:chartTrackingRefBased/>
  <w15:docId w15:val="{5E74B9BD-D22B-4F83-AAA5-4658D76F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7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F7A"/>
    <w:pPr>
      <w:ind w:left="720"/>
    </w:pPr>
  </w:style>
  <w:style w:type="paragraph" w:styleId="NoSpacing">
    <w:name w:val="No Spacing"/>
    <w:uiPriority w:val="1"/>
    <w:qFormat/>
    <w:rsid w:val="00E04F7A"/>
    <w:pPr>
      <w:spacing w:after="0" w:line="240" w:lineRule="auto"/>
    </w:pPr>
    <w:rPr>
      <w:rFonts w:ascii="Calibri" w:eastAsia="Times New Roman" w:hAnsi="Calibri" w:cs="Times New Roman"/>
    </w:rPr>
  </w:style>
  <w:style w:type="table" w:styleId="TableGrid">
    <w:name w:val="Table Grid"/>
    <w:basedOn w:val="TableNormal"/>
    <w:uiPriority w:val="39"/>
    <w:rsid w:val="00F4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Spiteri</dc:creator>
  <cp:keywords/>
  <dc:description/>
  <cp:lastModifiedBy>S Spiteri</cp:lastModifiedBy>
  <cp:revision>2</cp:revision>
  <dcterms:created xsi:type="dcterms:W3CDTF">2021-03-05T11:24:00Z</dcterms:created>
  <dcterms:modified xsi:type="dcterms:W3CDTF">2021-03-05T11:24:00Z</dcterms:modified>
</cp:coreProperties>
</file>